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70" w:rsidRDefault="000E6770" w:rsidP="009C7BF7">
      <w:pPr>
        <w:pStyle w:val="a3"/>
        <w:jc w:val="center"/>
        <w:rPr>
          <w:b/>
        </w:rPr>
      </w:pPr>
    </w:p>
    <w:p w:rsidR="009C7BF7" w:rsidRPr="009C7BF7" w:rsidRDefault="00604605" w:rsidP="009C7BF7">
      <w:pPr>
        <w:pStyle w:val="a3"/>
        <w:jc w:val="center"/>
        <w:rPr>
          <w:b/>
        </w:rPr>
      </w:pPr>
      <w:r>
        <w:rPr>
          <w:b/>
        </w:rPr>
        <w:t>Пояснительная записка</w:t>
      </w:r>
      <w:r w:rsidR="009C7BF7" w:rsidRPr="009C7BF7">
        <w:rPr>
          <w:b/>
        </w:rPr>
        <w:t xml:space="preserve"> </w:t>
      </w:r>
    </w:p>
    <w:p w:rsidR="009C7BF7" w:rsidRDefault="009C7BF7" w:rsidP="00717706">
      <w:pPr>
        <w:pStyle w:val="a3"/>
        <w:jc w:val="center"/>
        <w:rPr>
          <w:b/>
        </w:rPr>
      </w:pPr>
      <w:r w:rsidRPr="009C7BF7">
        <w:rPr>
          <w:b/>
        </w:rPr>
        <w:t xml:space="preserve">по основным параметрам </w:t>
      </w:r>
      <w:r w:rsidR="000C0C6B">
        <w:rPr>
          <w:b/>
        </w:rPr>
        <w:t xml:space="preserve">предварительного </w:t>
      </w:r>
      <w:r w:rsidRPr="009C7BF7">
        <w:rPr>
          <w:b/>
        </w:rPr>
        <w:t xml:space="preserve">прогноза социально-экономического развития </w:t>
      </w:r>
      <w:r w:rsidR="00604605">
        <w:rPr>
          <w:b/>
        </w:rPr>
        <w:t>городского округа «Город Губаха»</w:t>
      </w:r>
      <w:r w:rsidR="000C0C6B">
        <w:rPr>
          <w:b/>
        </w:rPr>
        <w:t>.</w:t>
      </w:r>
    </w:p>
    <w:p w:rsidR="00604605" w:rsidRDefault="00604605" w:rsidP="00717706">
      <w:pPr>
        <w:pStyle w:val="a3"/>
        <w:jc w:val="center"/>
        <w:rPr>
          <w:b/>
        </w:rPr>
      </w:pPr>
    </w:p>
    <w:p w:rsidR="00960EED" w:rsidRPr="008D6975" w:rsidRDefault="00604605" w:rsidP="00604605">
      <w:pPr>
        <w:ind w:firstLine="720"/>
        <w:jc w:val="both"/>
        <w:rPr>
          <w:sz w:val="28"/>
          <w:szCs w:val="28"/>
        </w:rPr>
      </w:pPr>
      <w:r w:rsidRPr="008D6975">
        <w:rPr>
          <w:sz w:val="28"/>
          <w:szCs w:val="28"/>
        </w:rPr>
        <w:t xml:space="preserve">Губахинский городской округ принадлежит в числу промышленных территорий Пермского края. Основные промышленные предприятия: ОАО «Метафракс» основной вид выпускаемой продукции метанол и ОАО «Губахинский кокс» основной вид продукции кокс металлургический. За последние три года социально-экономическое развитие ОАО «Метафракс» стабильное.  По предварительному прогнозу развития </w:t>
      </w:r>
      <w:r w:rsidR="008D6975" w:rsidRPr="008D6975">
        <w:rPr>
          <w:sz w:val="28"/>
          <w:szCs w:val="28"/>
        </w:rPr>
        <w:t>на 2015-201</w:t>
      </w:r>
      <w:r w:rsidR="008A3E99">
        <w:rPr>
          <w:sz w:val="28"/>
          <w:szCs w:val="28"/>
        </w:rPr>
        <w:t>9</w:t>
      </w:r>
      <w:r w:rsidRPr="008D6975">
        <w:rPr>
          <w:sz w:val="28"/>
          <w:szCs w:val="28"/>
        </w:rPr>
        <w:t xml:space="preserve"> годы наблюдается рост объема инвестиций в основной капитал  за счет всех источников фин</w:t>
      </w:r>
      <w:r w:rsidR="008D6975">
        <w:rPr>
          <w:sz w:val="28"/>
          <w:szCs w:val="28"/>
        </w:rPr>
        <w:t>ансированию приблизительно на 262%, из 152% за счет прибыли предприятия.</w:t>
      </w:r>
      <w:r w:rsidRPr="008D6975">
        <w:rPr>
          <w:sz w:val="28"/>
          <w:szCs w:val="28"/>
        </w:rPr>
        <w:t xml:space="preserve"> Прогноз социально-экономического развития ОАО «Метафракс» разработан по базовому варианту развития экономики. На финансовые результаты деятельности предприятия значительно влияет ситуация, складывающаяся на внешнем рынке по спросу и цене на экспортную продукцию. Изменение цены и спроса на внешнем рынке может существенно повлиять на ожидаемые результаты. </w:t>
      </w:r>
      <w:r w:rsidR="00960EED" w:rsidRPr="008D6975">
        <w:rPr>
          <w:sz w:val="28"/>
          <w:szCs w:val="28"/>
        </w:rPr>
        <w:t xml:space="preserve">У </w:t>
      </w:r>
      <w:r w:rsidRPr="008D6975">
        <w:rPr>
          <w:sz w:val="28"/>
          <w:szCs w:val="28"/>
        </w:rPr>
        <w:t xml:space="preserve"> ОАО «Губахинский кокс» </w:t>
      </w:r>
      <w:r w:rsidR="00960EED" w:rsidRPr="008D6975">
        <w:rPr>
          <w:sz w:val="28"/>
          <w:szCs w:val="28"/>
        </w:rPr>
        <w:t>с</w:t>
      </w:r>
      <w:r w:rsidRPr="008D6975">
        <w:rPr>
          <w:sz w:val="28"/>
          <w:szCs w:val="28"/>
        </w:rPr>
        <w:t xml:space="preserve">реднесрочная программа развития предприятия на 2015-2020 годы отсутствует. </w:t>
      </w:r>
      <w:r w:rsidR="00DC7E14">
        <w:rPr>
          <w:sz w:val="28"/>
          <w:szCs w:val="28"/>
        </w:rPr>
        <w:t>В 201</w:t>
      </w:r>
      <w:r w:rsidR="008A3E99">
        <w:rPr>
          <w:sz w:val="28"/>
          <w:szCs w:val="28"/>
        </w:rPr>
        <w:t>5</w:t>
      </w:r>
      <w:r w:rsidR="00DC7E14">
        <w:rPr>
          <w:sz w:val="28"/>
          <w:szCs w:val="28"/>
        </w:rPr>
        <w:t xml:space="preserve"> году по сравнению с 201</w:t>
      </w:r>
      <w:r w:rsidR="008A3E99">
        <w:rPr>
          <w:sz w:val="28"/>
          <w:szCs w:val="28"/>
        </w:rPr>
        <w:t>4</w:t>
      </w:r>
      <w:r w:rsidR="00DC7E14">
        <w:rPr>
          <w:sz w:val="28"/>
          <w:szCs w:val="28"/>
        </w:rPr>
        <w:t xml:space="preserve"> наблюдается уменьшение экспорта продукции ОАО «Метафракс», составляет 81% к 201</w:t>
      </w:r>
      <w:r w:rsidR="008A3E99">
        <w:rPr>
          <w:sz w:val="28"/>
          <w:szCs w:val="28"/>
        </w:rPr>
        <w:t>4</w:t>
      </w:r>
      <w:r w:rsidR="00DC7E14">
        <w:rPr>
          <w:sz w:val="28"/>
          <w:szCs w:val="28"/>
        </w:rPr>
        <w:t xml:space="preserve"> году. В 201</w:t>
      </w:r>
      <w:r w:rsidR="008A3E99">
        <w:rPr>
          <w:sz w:val="28"/>
          <w:szCs w:val="28"/>
        </w:rPr>
        <w:t>5</w:t>
      </w:r>
      <w:r w:rsidR="00DC7E14">
        <w:rPr>
          <w:sz w:val="28"/>
          <w:szCs w:val="28"/>
        </w:rPr>
        <w:t xml:space="preserve"> году предприятие в разы увеличило потребление импорта</w:t>
      </w:r>
      <w:r w:rsidR="008A3E99">
        <w:rPr>
          <w:sz w:val="28"/>
          <w:szCs w:val="28"/>
        </w:rPr>
        <w:t xml:space="preserve"> </w:t>
      </w:r>
      <w:r w:rsidR="00DC7E14">
        <w:rPr>
          <w:sz w:val="28"/>
          <w:szCs w:val="28"/>
        </w:rPr>
        <w:t>(химическое оборудование и др.)  574%, к 201</w:t>
      </w:r>
      <w:r w:rsidR="008A3E99">
        <w:rPr>
          <w:sz w:val="28"/>
          <w:szCs w:val="28"/>
        </w:rPr>
        <w:t>4</w:t>
      </w:r>
      <w:r w:rsidR="00DC7E14">
        <w:rPr>
          <w:sz w:val="28"/>
          <w:szCs w:val="28"/>
        </w:rPr>
        <w:t xml:space="preserve"> году. </w:t>
      </w:r>
      <w:r w:rsidRPr="008D6975">
        <w:rPr>
          <w:sz w:val="28"/>
          <w:szCs w:val="28"/>
        </w:rPr>
        <w:t>В период с 2011 по 2013 год на ОАО «Губахинский кокс» на</w:t>
      </w:r>
      <w:r w:rsidR="008D6975">
        <w:rPr>
          <w:sz w:val="28"/>
          <w:szCs w:val="28"/>
        </w:rPr>
        <w:t>блюдалось</w:t>
      </w:r>
      <w:r w:rsidRPr="008D6975">
        <w:rPr>
          <w:sz w:val="28"/>
          <w:szCs w:val="28"/>
        </w:rPr>
        <w:t xml:space="preserve"> ухудшение положения предприятия. В 2013 году произошло снижение объемов производст</w:t>
      </w:r>
      <w:r w:rsidR="00960EED" w:rsidRPr="008D6975">
        <w:rPr>
          <w:sz w:val="28"/>
          <w:szCs w:val="28"/>
        </w:rPr>
        <w:t>ва на 31</w:t>
      </w:r>
      <w:r w:rsidRPr="008D6975">
        <w:rPr>
          <w:sz w:val="28"/>
          <w:szCs w:val="28"/>
        </w:rPr>
        <w:t>% по отношению к 2012 году.</w:t>
      </w:r>
      <w:r w:rsidR="008D6975">
        <w:rPr>
          <w:sz w:val="28"/>
          <w:szCs w:val="28"/>
        </w:rPr>
        <w:t xml:space="preserve"> В 201</w:t>
      </w:r>
      <w:r w:rsidR="00DD3E79">
        <w:rPr>
          <w:sz w:val="28"/>
          <w:szCs w:val="28"/>
        </w:rPr>
        <w:t>5</w:t>
      </w:r>
      <w:r w:rsidR="008D6975">
        <w:rPr>
          <w:sz w:val="28"/>
          <w:szCs w:val="28"/>
        </w:rPr>
        <w:t xml:space="preserve"> году рост объемов производства на 121%, выросла выручка предприятия на 115%. Сокращение штатной численности на крупных предприятиях округа не </w:t>
      </w:r>
      <w:r w:rsidR="00B414AC">
        <w:rPr>
          <w:sz w:val="28"/>
          <w:szCs w:val="28"/>
        </w:rPr>
        <w:t>предвидится</w:t>
      </w:r>
      <w:r w:rsidR="008D6975">
        <w:rPr>
          <w:sz w:val="28"/>
          <w:szCs w:val="28"/>
        </w:rPr>
        <w:t xml:space="preserve">.  </w:t>
      </w:r>
      <w:r w:rsidRPr="008D6975">
        <w:rPr>
          <w:sz w:val="28"/>
          <w:szCs w:val="28"/>
        </w:rPr>
        <w:t xml:space="preserve"> </w:t>
      </w:r>
    </w:p>
    <w:p w:rsidR="00604605" w:rsidRDefault="00604605" w:rsidP="00604605">
      <w:pPr>
        <w:ind w:firstLine="720"/>
        <w:jc w:val="both"/>
        <w:rPr>
          <w:sz w:val="28"/>
          <w:szCs w:val="28"/>
        </w:rPr>
      </w:pPr>
      <w:r w:rsidRPr="008D6975">
        <w:rPr>
          <w:sz w:val="28"/>
          <w:szCs w:val="28"/>
        </w:rPr>
        <w:t xml:space="preserve">Социально-экономическое состояние городского округа зависит от экономико-финансового положения бюджетообразующих предприятий. Ухудшение показателей хозяйственной деятельности предприятий отразится на социально-экономической политике города. </w:t>
      </w:r>
    </w:p>
    <w:p w:rsidR="008A3E99" w:rsidRPr="008A3E99" w:rsidRDefault="008A3E99" w:rsidP="008A3E99">
      <w:pPr>
        <w:ind w:firstLine="720"/>
        <w:jc w:val="both"/>
        <w:rPr>
          <w:color w:val="FF0000"/>
          <w:sz w:val="28"/>
          <w:szCs w:val="28"/>
        </w:rPr>
      </w:pPr>
      <w:r w:rsidRPr="008A3E99">
        <w:rPr>
          <w:sz w:val="28"/>
          <w:szCs w:val="28"/>
        </w:rPr>
        <w:t>Основные промышленные предприятия: ОАО «Метафракс» основной вид выпускаемой продукции метанол и ОАО «Губахинский кокс» основной вид продукции кокс металлургический. За последние три года социально-экономическое развитие ОАО «Метафракс» стабильное.  По предварительному прогнозу развития на 2015-2019 годы наблюдается рост объема инвестиций в основной капитал  за счет всех источников финансированию приблизительно на 256%,</w:t>
      </w:r>
      <w:r w:rsidRPr="008A3E99">
        <w:rPr>
          <w:color w:val="FF0000"/>
          <w:sz w:val="28"/>
          <w:szCs w:val="28"/>
        </w:rPr>
        <w:t xml:space="preserve"> </w:t>
      </w:r>
      <w:r w:rsidRPr="008A3E99">
        <w:rPr>
          <w:sz w:val="28"/>
          <w:szCs w:val="28"/>
        </w:rPr>
        <w:t>из них на 351% за счет прибыли предприятия. Прогноз социально-экономического развития ОАО «Метафракс» разработан по базовому варианту развития экономики. В 2015 году наблюдается уменьшение экспорта продукции ОАО «Метафракс», составляет 67% к 2014 году. В 2015 году предприятие увеличило потребление импорта (химическое оборудование и др.)  на14%  к 2014 году.</w:t>
      </w:r>
      <w:r w:rsidRPr="008A3E99">
        <w:rPr>
          <w:color w:val="FF0000"/>
          <w:sz w:val="28"/>
          <w:szCs w:val="28"/>
        </w:rPr>
        <w:t xml:space="preserve"> </w:t>
      </w:r>
      <w:r w:rsidRPr="008A3E99">
        <w:rPr>
          <w:sz w:val="28"/>
          <w:szCs w:val="28"/>
        </w:rPr>
        <w:lastRenderedPageBreak/>
        <w:t>В 2015 году выросла выручка предприятия на 24%. Производство основных видов продукции составил: метанол – 929 000 тыс.тон.(96% уровня 2014 года – 971 000 тыс.тон);</w:t>
      </w:r>
    </w:p>
    <w:p w:rsidR="008A3E99" w:rsidRPr="008A3E99" w:rsidRDefault="008A3E99" w:rsidP="008A3E99">
      <w:pPr>
        <w:jc w:val="both"/>
        <w:rPr>
          <w:rFonts w:eastAsia="+mn-ea"/>
          <w:kern w:val="24"/>
          <w:sz w:val="28"/>
          <w:szCs w:val="28"/>
        </w:rPr>
      </w:pPr>
      <w:r w:rsidRPr="008A3E99">
        <w:rPr>
          <w:sz w:val="28"/>
          <w:szCs w:val="28"/>
        </w:rPr>
        <w:t>На финансовые результаты деятельности предприятия значительно влияет ситуация, складывающаяся на внешнем рынке по спросу и цене на экспортную продукцию. Изменение цены и спроса на внешнем рынке может существенно повлиять на ожидаемые результаты. У  ОАО «Губахинский кокс» среднесрочная программа развития предприятия на 2017-2019 годы отсутствует. В 2015 году выросла выручка предприятия на 22 % по сравнению с 2014 годом. Производство кокса 6% влажности – 384,15 тыс. тон (85% уровня 2014 года – 452,21 тыс. тон.). Объем инвестиций в основной капитал в 2015 году составит 2,51 млн.руб, единственным источником инвестиций являются амортизационные отчисления –Инвестиции за счет прибыли предприятий в 2013 году – отсутствуют.</w:t>
      </w:r>
      <w:r w:rsidRPr="008A3E99">
        <w:rPr>
          <w:rFonts w:eastAsia="+mn-ea"/>
          <w:kern w:val="24"/>
          <w:sz w:val="28"/>
          <w:szCs w:val="28"/>
        </w:rPr>
        <w:t xml:space="preserve"> </w:t>
      </w:r>
    </w:p>
    <w:p w:rsidR="008A3E99" w:rsidRPr="008A3E99" w:rsidRDefault="008A3E99" w:rsidP="008A3E99">
      <w:pPr>
        <w:ind w:firstLine="720"/>
        <w:jc w:val="both"/>
        <w:rPr>
          <w:sz w:val="28"/>
          <w:szCs w:val="28"/>
        </w:rPr>
      </w:pPr>
      <w:r w:rsidRPr="008A3E99">
        <w:rPr>
          <w:color w:val="FF0000"/>
          <w:sz w:val="28"/>
          <w:szCs w:val="28"/>
        </w:rPr>
        <w:t xml:space="preserve"> </w:t>
      </w:r>
      <w:r w:rsidRPr="008A3E99">
        <w:rPr>
          <w:sz w:val="28"/>
          <w:szCs w:val="28"/>
        </w:rPr>
        <w:t xml:space="preserve">Сокращение штатной численности на крупных предприятиях округа не предвидится.   </w:t>
      </w:r>
    </w:p>
    <w:p w:rsidR="008A3E99" w:rsidRPr="008A3E99" w:rsidRDefault="008A3E99" w:rsidP="008A3E99">
      <w:pPr>
        <w:ind w:firstLine="720"/>
        <w:jc w:val="both"/>
        <w:rPr>
          <w:sz w:val="28"/>
          <w:szCs w:val="28"/>
        </w:rPr>
      </w:pPr>
      <w:r w:rsidRPr="008A3E99">
        <w:rPr>
          <w:sz w:val="28"/>
          <w:szCs w:val="28"/>
        </w:rPr>
        <w:t xml:space="preserve">Социально-экономическое состояние городского округа зависит от экономико-финансового положения бюджетообразующих предприятий. Ухудшение показателей хозяйственной деятельности предприятий отразится на социально-экономической политике города. </w:t>
      </w:r>
    </w:p>
    <w:p w:rsidR="008A3E99" w:rsidRPr="008A3E99" w:rsidRDefault="008A3E99" w:rsidP="008A3E99">
      <w:pPr>
        <w:ind w:firstLine="708"/>
        <w:jc w:val="both"/>
        <w:rPr>
          <w:sz w:val="28"/>
          <w:szCs w:val="28"/>
        </w:rPr>
      </w:pPr>
      <w:r w:rsidRPr="008A3E99">
        <w:rPr>
          <w:sz w:val="28"/>
          <w:szCs w:val="28"/>
        </w:rPr>
        <w:t>Объем отгруженных  товаров собственного производства в 2015 году составил 2,5 млрд.руб. или 118,4% к уровню 2014 года</w:t>
      </w:r>
    </w:p>
    <w:p w:rsidR="008A3E99" w:rsidRPr="008A3E99" w:rsidRDefault="008A3E99" w:rsidP="008A3E99">
      <w:pPr>
        <w:ind w:firstLine="708"/>
        <w:jc w:val="both"/>
        <w:rPr>
          <w:sz w:val="28"/>
          <w:szCs w:val="28"/>
        </w:rPr>
      </w:pPr>
      <w:r w:rsidRPr="008A3E99">
        <w:rPr>
          <w:sz w:val="28"/>
          <w:szCs w:val="28"/>
        </w:rPr>
        <w:t>Наш округ обладает высоким инвестиционным потенциалом, занимая 8 место из 48 территорий Пермского края, что говорит об устойчивом развитии экономики. В 2015 году объем инвестиций составил 3,2 млрд.руб. или  в расчете на 1 жителя - 89 тыс.руб., что в 5 раза выше базового для городского округа уровня 2012 года. Основной объем инвестиций в размере 2,7 млрд. или  85% приходится на ОАО «Метафракс». Предприятие обновило подвижной парк (приобретены железнодорожные цистерны для перевозки метанола), завершило первый этап реконструкции агрегата метанола, проведена модернизация печи риформинга. Ведется строительство второй установки по производству малометанольного концентрированного формалина.</w:t>
      </w:r>
    </w:p>
    <w:p w:rsidR="008A3E99" w:rsidRPr="008A3E99" w:rsidRDefault="008A3E99" w:rsidP="008A3E99">
      <w:pPr>
        <w:ind w:firstLine="12"/>
        <w:jc w:val="both"/>
        <w:rPr>
          <w:sz w:val="28"/>
          <w:szCs w:val="28"/>
        </w:rPr>
      </w:pPr>
      <w:r w:rsidRPr="008A3E99">
        <w:rPr>
          <w:sz w:val="28"/>
          <w:szCs w:val="28"/>
        </w:rPr>
        <w:t xml:space="preserve">Среднемесячная начисленная заработная плата по округу  на 01.01.2016 года  составляет 26 375 рублей, что составляет 11,9 % уровня прошлого года (23 567 рублей). </w:t>
      </w:r>
      <w:r w:rsidRPr="008A3E99">
        <w:rPr>
          <w:color w:val="FF0000"/>
          <w:sz w:val="28"/>
          <w:szCs w:val="28"/>
        </w:rPr>
        <w:t xml:space="preserve"> </w:t>
      </w:r>
      <w:r w:rsidRPr="008A3E99">
        <w:rPr>
          <w:sz w:val="28"/>
          <w:szCs w:val="28"/>
        </w:rPr>
        <w:t>В 2015 году сократился разрыв между среднемесячной заработной платой в округе и  среднемесячной заработной платой по Пермскому краю.</w:t>
      </w:r>
      <w:r w:rsidRPr="008A3E99">
        <w:rPr>
          <w:color w:val="FF0000"/>
          <w:sz w:val="28"/>
          <w:szCs w:val="28"/>
        </w:rPr>
        <w:t xml:space="preserve"> </w:t>
      </w:r>
      <w:r w:rsidRPr="008A3E99">
        <w:rPr>
          <w:sz w:val="28"/>
          <w:szCs w:val="28"/>
        </w:rPr>
        <w:t>Губахинский городской округ входит в состав благоприятных территорий с уровнем безработицы ниже среднего по Пермскому краю.</w:t>
      </w:r>
    </w:p>
    <w:p w:rsidR="008A3E99" w:rsidRPr="008A3E99" w:rsidRDefault="008A3E99" w:rsidP="008A3E99">
      <w:pPr>
        <w:ind w:firstLine="12"/>
        <w:jc w:val="both"/>
        <w:rPr>
          <w:sz w:val="28"/>
          <w:szCs w:val="28"/>
        </w:rPr>
      </w:pPr>
      <w:r w:rsidRPr="008A3E99">
        <w:rPr>
          <w:sz w:val="28"/>
          <w:szCs w:val="28"/>
        </w:rPr>
        <w:t>На 01.01.2016 официально зарегистрированная безработица составила 1,4 %,  что ниже среднекраевого показателя на 0,25%, на 01.01.2015 уровень безработицы соответственно составлял 1,28 %.</w:t>
      </w:r>
    </w:p>
    <w:p w:rsidR="008A3E99" w:rsidRDefault="008A3E99" w:rsidP="008A3E99">
      <w:pPr>
        <w:jc w:val="both"/>
        <w:rPr>
          <w:sz w:val="28"/>
          <w:szCs w:val="28"/>
        </w:rPr>
      </w:pPr>
      <w:r w:rsidRPr="008A3E99">
        <w:rPr>
          <w:sz w:val="28"/>
          <w:szCs w:val="28"/>
        </w:rPr>
        <w:t>Динамика уровня безработицы по округу.</w:t>
      </w:r>
    </w:p>
    <w:p w:rsidR="00D32B98" w:rsidRPr="008A3E99" w:rsidRDefault="00D32B98" w:rsidP="008A3E99">
      <w:pPr>
        <w:jc w:val="both"/>
        <w:rPr>
          <w:sz w:val="28"/>
          <w:szCs w:val="28"/>
        </w:rPr>
      </w:pPr>
    </w:p>
    <w:p w:rsidR="008A3E99" w:rsidRPr="008A3E99" w:rsidRDefault="008A3E99" w:rsidP="008A3E99">
      <w:pPr>
        <w:jc w:val="both"/>
        <w:rPr>
          <w:sz w:val="28"/>
          <w:szCs w:val="28"/>
        </w:rPr>
      </w:pPr>
    </w:p>
    <w:tbl>
      <w:tblPr>
        <w:tblW w:w="9284" w:type="dxa"/>
        <w:tblLayout w:type="fixed"/>
        <w:tblCellMar>
          <w:left w:w="70" w:type="dxa"/>
          <w:right w:w="70" w:type="dxa"/>
        </w:tblCellMar>
        <w:tblLook w:val="0000"/>
      </w:tblPr>
      <w:tblGrid>
        <w:gridCol w:w="3472"/>
        <w:gridCol w:w="1560"/>
        <w:gridCol w:w="1701"/>
        <w:gridCol w:w="1275"/>
        <w:gridCol w:w="1276"/>
      </w:tblGrid>
      <w:tr w:rsidR="008A3E99" w:rsidRPr="008A3E99" w:rsidTr="00132B59">
        <w:trPr>
          <w:cantSplit/>
          <w:trHeight w:val="240"/>
        </w:trPr>
        <w:tc>
          <w:tcPr>
            <w:tcW w:w="3472" w:type="dxa"/>
            <w:tcBorders>
              <w:top w:val="single" w:sz="6" w:space="0" w:color="auto"/>
              <w:left w:val="single" w:sz="6" w:space="0" w:color="auto"/>
              <w:bottom w:val="single" w:sz="6" w:space="0" w:color="auto"/>
              <w:right w:val="single" w:sz="6" w:space="0" w:color="auto"/>
            </w:tcBorders>
          </w:tcPr>
          <w:p w:rsidR="008A3E99" w:rsidRPr="008A3E99" w:rsidRDefault="008A3E99" w:rsidP="00132B59">
            <w:pPr>
              <w:jc w:val="both"/>
              <w:rPr>
                <w:sz w:val="28"/>
                <w:szCs w:val="28"/>
              </w:rPr>
            </w:pPr>
            <w:r w:rsidRPr="008A3E99">
              <w:rPr>
                <w:sz w:val="28"/>
                <w:szCs w:val="28"/>
              </w:rPr>
              <w:lastRenderedPageBreak/>
              <w:t xml:space="preserve">Показатель    </w:t>
            </w:r>
          </w:p>
        </w:tc>
        <w:tc>
          <w:tcPr>
            <w:tcW w:w="1560" w:type="dxa"/>
            <w:tcBorders>
              <w:top w:val="single" w:sz="6" w:space="0" w:color="auto"/>
              <w:left w:val="single" w:sz="6" w:space="0" w:color="auto"/>
              <w:bottom w:val="single" w:sz="6" w:space="0" w:color="auto"/>
              <w:right w:val="single" w:sz="6" w:space="0" w:color="auto"/>
            </w:tcBorders>
          </w:tcPr>
          <w:p w:rsidR="008A3E99" w:rsidRPr="008A3E99" w:rsidRDefault="008A3E99" w:rsidP="00132B59">
            <w:pPr>
              <w:jc w:val="both"/>
              <w:rPr>
                <w:sz w:val="28"/>
                <w:szCs w:val="28"/>
              </w:rPr>
            </w:pPr>
            <w:r w:rsidRPr="008A3E99">
              <w:rPr>
                <w:sz w:val="28"/>
                <w:szCs w:val="28"/>
              </w:rPr>
              <w:t>2012 г.</w:t>
            </w:r>
          </w:p>
        </w:tc>
        <w:tc>
          <w:tcPr>
            <w:tcW w:w="1701" w:type="dxa"/>
            <w:tcBorders>
              <w:top w:val="single" w:sz="6" w:space="0" w:color="auto"/>
              <w:left w:val="single" w:sz="6" w:space="0" w:color="auto"/>
              <w:bottom w:val="single" w:sz="6" w:space="0" w:color="auto"/>
              <w:right w:val="single" w:sz="6" w:space="0" w:color="auto"/>
            </w:tcBorders>
          </w:tcPr>
          <w:p w:rsidR="008A3E99" w:rsidRPr="008A3E99" w:rsidRDefault="008A3E99" w:rsidP="00132B59">
            <w:pPr>
              <w:jc w:val="both"/>
              <w:rPr>
                <w:sz w:val="28"/>
                <w:szCs w:val="28"/>
              </w:rPr>
            </w:pPr>
            <w:r w:rsidRPr="008A3E99">
              <w:rPr>
                <w:sz w:val="28"/>
                <w:szCs w:val="28"/>
              </w:rPr>
              <w:t>2013 г.</w:t>
            </w:r>
          </w:p>
        </w:tc>
        <w:tc>
          <w:tcPr>
            <w:tcW w:w="1275" w:type="dxa"/>
            <w:tcBorders>
              <w:top w:val="single" w:sz="6" w:space="0" w:color="auto"/>
              <w:left w:val="single" w:sz="6" w:space="0" w:color="auto"/>
              <w:bottom w:val="single" w:sz="6" w:space="0" w:color="auto"/>
              <w:right w:val="single" w:sz="6" w:space="0" w:color="auto"/>
            </w:tcBorders>
          </w:tcPr>
          <w:p w:rsidR="008A3E99" w:rsidRPr="008A3E99" w:rsidRDefault="008A3E99" w:rsidP="00132B59">
            <w:pPr>
              <w:jc w:val="both"/>
              <w:rPr>
                <w:sz w:val="28"/>
                <w:szCs w:val="28"/>
              </w:rPr>
            </w:pPr>
            <w:r w:rsidRPr="008A3E99">
              <w:rPr>
                <w:sz w:val="28"/>
                <w:szCs w:val="28"/>
              </w:rPr>
              <w:t>2014</w:t>
            </w:r>
          </w:p>
        </w:tc>
        <w:tc>
          <w:tcPr>
            <w:tcW w:w="1276" w:type="dxa"/>
            <w:tcBorders>
              <w:top w:val="single" w:sz="6" w:space="0" w:color="auto"/>
              <w:left w:val="single" w:sz="6" w:space="0" w:color="auto"/>
              <w:bottom w:val="single" w:sz="6" w:space="0" w:color="auto"/>
              <w:right w:val="single" w:sz="6" w:space="0" w:color="auto"/>
            </w:tcBorders>
          </w:tcPr>
          <w:p w:rsidR="008A3E99" w:rsidRPr="008A3E99" w:rsidRDefault="008A3E99" w:rsidP="00132B59">
            <w:pPr>
              <w:jc w:val="both"/>
              <w:rPr>
                <w:sz w:val="28"/>
                <w:szCs w:val="28"/>
              </w:rPr>
            </w:pPr>
            <w:r w:rsidRPr="008A3E99">
              <w:rPr>
                <w:sz w:val="28"/>
                <w:szCs w:val="28"/>
              </w:rPr>
              <w:t>2015</w:t>
            </w:r>
          </w:p>
        </w:tc>
      </w:tr>
      <w:tr w:rsidR="008A3E99" w:rsidRPr="008A3E99" w:rsidTr="00132B59">
        <w:trPr>
          <w:cantSplit/>
          <w:trHeight w:val="480"/>
        </w:trPr>
        <w:tc>
          <w:tcPr>
            <w:tcW w:w="3472" w:type="dxa"/>
            <w:tcBorders>
              <w:top w:val="single" w:sz="6" w:space="0" w:color="auto"/>
              <w:left w:val="single" w:sz="6" w:space="0" w:color="auto"/>
              <w:bottom w:val="single" w:sz="6" w:space="0" w:color="auto"/>
              <w:right w:val="single" w:sz="6" w:space="0" w:color="auto"/>
            </w:tcBorders>
          </w:tcPr>
          <w:p w:rsidR="008A3E99" w:rsidRPr="008A3E99" w:rsidRDefault="008A3E99" w:rsidP="00132B59">
            <w:pPr>
              <w:jc w:val="both"/>
              <w:rPr>
                <w:sz w:val="28"/>
                <w:szCs w:val="28"/>
              </w:rPr>
            </w:pPr>
            <w:r w:rsidRPr="008A3E99">
              <w:rPr>
                <w:sz w:val="28"/>
                <w:szCs w:val="28"/>
              </w:rPr>
              <w:t>Уровень зарегистрированной безработицы, %.</w:t>
            </w:r>
          </w:p>
        </w:tc>
        <w:tc>
          <w:tcPr>
            <w:tcW w:w="1560" w:type="dxa"/>
            <w:tcBorders>
              <w:top w:val="single" w:sz="6" w:space="0" w:color="auto"/>
              <w:left w:val="single" w:sz="6" w:space="0" w:color="auto"/>
              <w:bottom w:val="single" w:sz="6" w:space="0" w:color="auto"/>
              <w:right w:val="single" w:sz="6" w:space="0" w:color="auto"/>
            </w:tcBorders>
          </w:tcPr>
          <w:p w:rsidR="008A3E99" w:rsidRPr="008A3E99" w:rsidRDefault="008A3E99" w:rsidP="00132B59">
            <w:pPr>
              <w:jc w:val="both"/>
              <w:rPr>
                <w:sz w:val="28"/>
                <w:szCs w:val="28"/>
              </w:rPr>
            </w:pPr>
            <w:r w:rsidRPr="008A3E99">
              <w:rPr>
                <w:sz w:val="28"/>
                <w:szCs w:val="28"/>
              </w:rPr>
              <w:t xml:space="preserve">1,12  </w:t>
            </w:r>
          </w:p>
        </w:tc>
        <w:tc>
          <w:tcPr>
            <w:tcW w:w="1701" w:type="dxa"/>
            <w:tcBorders>
              <w:top w:val="single" w:sz="6" w:space="0" w:color="auto"/>
              <w:left w:val="single" w:sz="6" w:space="0" w:color="auto"/>
              <w:bottom w:val="single" w:sz="6" w:space="0" w:color="auto"/>
              <w:right w:val="single" w:sz="6" w:space="0" w:color="auto"/>
            </w:tcBorders>
          </w:tcPr>
          <w:p w:rsidR="008A3E99" w:rsidRPr="008A3E99" w:rsidRDefault="008A3E99" w:rsidP="00132B59">
            <w:pPr>
              <w:jc w:val="both"/>
              <w:rPr>
                <w:sz w:val="28"/>
                <w:szCs w:val="28"/>
              </w:rPr>
            </w:pPr>
            <w:r w:rsidRPr="008A3E99">
              <w:rPr>
                <w:sz w:val="28"/>
                <w:szCs w:val="28"/>
              </w:rPr>
              <w:t>1,05</w:t>
            </w:r>
          </w:p>
        </w:tc>
        <w:tc>
          <w:tcPr>
            <w:tcW w:w="1275" w:type="dxa"/>
            <w:tcBorders>
              <w:top w:val="single" w:sz="6" w:space="0" w:color="auto"/>
              <w:left w:val="single" w:sz="6" w:space="0" w:color="auto"/>
              <w:bottom w:val="single" w:sz="6" w:space="0" w:color="auto"/>
              <w:right w:val="single" w:sz="6" w:space="0" w:color="auto"/>
            </w:tcBorders>
          </w:tcPr>
          <w:p w:rsidR="008A3E99" w:rsidRPr="008A3E99" w:rsidRDefault="008A3E99" w:rsidP="00132B59">
            <w:pPr>
              <w:jc w:val="both"/>
              <w:rPr>
                <w:sz w:val="28"/>
                <w:szCs w:val="28"/>
              </w:rPr>
            </w:pPr>
            <w:r w:rsidRPr="008A3E99">
              <w:rPr>
                <w:sz w:val="28"/>
                <w:szCs w:val="28"/>
              </w:rPr>
              <w:t>1,28</w:t>
            </w:r>
          </w:p>
        </w:tc>
        <w:tc>
          <w:tcPr>
            <w:tcW w:w="1276" w:type="dxa"/>
            <w:tcBorders>
              <w:top w:val="single" w:sz="6" w:space="0" w:color="auto"/>
              <w:left w:val="single" w:sz="6" w:space="0" w:color="auto"/>
              <w:bottom w:val="single" w:sz="6" w:space="0" w:color="auto"/>
              <w:right w:val="single" w:sz="6" w:space="0" w:color="auto"/>
            </w:tcBorders>
          </w:tcPr>
          <w:p w:rsidR="008A3E99" w:rsidRPr="008A3E99" w:rsidRDefault="008A3E99" w:rsidP="00132B59">
            <w:pPr>
              <w:jc w:val="both"/>
              <w:rPr>
                <w:sz w:val="28"/>
                <w:szCs w:val="28"/>
              </w:rPr>
            </w:pPr>
            <w:r w:rsidRPr="008A3E99">
              <w:rPr>
                <w:sz w:val="28"/>
                <w:szCs w:val="28"/>
              </w:rPr>
              <w:t>1,4</w:t>
            </w:r>
          </w:p>
        </w:tc>
      </w:tr>
      <w:tr w:rsidR="008A3E99" w:rsidRPr="008A3E99" w:rsidTr="00132B59">
        <w:trPr>
          <w:cantSplit/>
          <w:trHeight w:val="480"/>
        </w:trPr>
        <w:tc>
          <w:tcPr>
            <w:tcW w:w="3472" w:type="dxa"/>
            <w:tcBorders>
              <w:top w:val="single" w:sz="6" w:space="0" w:color="auto"/>
              <w:left w:val="single" w:sz="6" w:space="0" w:color="auto"/>
              <w:bottom w:val="single" w:sz="6" w:space="0" w:color="auto"/>
              <w:right w:val="single" w:sz="6" w:space="0" w:color="auto"/>
            </w:tcBorders>
          </w:tcPr>
          <w:p w:rsidR="008A3E99" w:rsidRPr="008A3E99" w:rsidRDefault="008A3E99" w:rsidP="00132B59">
            <w:pPr>
              <w:jc w:val="both"/>
              <w:rPr>
                <w:sz w:val="28"/>
                <w:szCs w:val="28"/>
              </w:rPr>
            </w:pPr>
            <w:r w:rsidRPr="008A3E99">
              <w:rPr>
                <w:sz w:val="28"/>
                <w:szCs w:val="28"/>
              </w:rPr>
              <w:t>Пермский край</w:t>
            </w:r>
          </w:p>
        </w:tc>
        <w:tc>
          <w:tcPr>
            <w:tcW w:w="1560" w:type="dxa"/>
            <w:tcBorders>
              <w:top w:val="single" w:sz="6" w:space="0" w:color="auto"/>
              <w:left w:val="single" w:sz="6" w:space="0" w:color="auto"/>
              <w:bottom w:val="single" w:sz="6" w:space="0" w:color="auto"/>
              <w:right w:val="single" w:sz="6" w:space="0" w:color="auto"/>
            </w:tcBorders>
          </w:tcPr>
          <w:p w:rsidR="008A3E99" w:rsidRPr="008A3E99" w:rsidRDefault="008A3E99" w:rsidP="00132B59">
            <w:pPr>
              <w:jc w:val="both"/>
              <w:rPr>
                <w:sz w:val="28"/>
                <w:szCs w:val="28"/>
              </w:rPr>
            </w:pPr>
            <w:r w:rsidRPr="008A3E99">
              <w:rPr>
                <w:sz w:val="28"/>
                <w:szCs w:val="28"/>
              </w:rPr>
              <w:t>1,55</w:t>
            </w:r>
          </w:p>
        </w:tc>
        <w:tc>
          <w:tcPr>
            <w:tcW w:w="1701" w:type="dxa"/>
            <w:tcBorders>
              <w:top w:val="single" w:sz="6" w:space="0" w:color="auto"/>
              <w:left w:val="single" w:sz="6" w:space="0" w:color="auto"/>
              <w:bottom w:val="single" w:sz="6" w:space="0" w:color="auto"/>
              <w:right w:val="single" w:sz="6" w:space="0" w:color="auto"/>
            </w:tcBorders>
          </w:tcPr>
          <w:p w:rsidR="008A3E99" w:rsidRPr="008A3E99" w:rsidRDefault="008A3E99" w:rsidP="00132B59">
            <w:pPr>
              <w:jc w:val="both"/>
              <w:rPr>
                <w:sz w:val="28"/>
                <w:szCs w:val="28"/>
              </w:rPr>
            </w:pPr>
            <w:r w:rsidRPr="008A3E99">
              <w:rPr>
                <w:sz w:val="28"/>
                <w:szCs w:val="28"/>
              </w:rPr>
              <w:t>1,5</w:t>
            </w:r>
          </w:p>
        </w:tc>
        <w:tc>
          <w:tcPr>
            <w:tcW w:w="1275" w:type="dxa"/>
            <w:tcBorders>
              <w:top w:val="single" w:sz="6" w:space="0" w:color="auto"/>
              <w:left w:val="single" w:sz="6" w:space="0" w:color="auto"/>
              <w:bottom w:val="single" w:sz="6" w:space="0" w:color="auto"/>
              <w:right w:val="single" w:sz="6" w:space="0" w:color="auto"/>
            </w:tcBorders>
          </w:tcPr>
          <w:p w:rsidR="008A3E99" w:rsidRPr="008A3E99" w:rsidRDefault="008A3E99" w:rsidP="00132B59">
            <w:pPr>
              <w:jc w:val="both"/>
              <w:rPr>
                <w:sz w:val="28"/>
                <w:szCs w:val="28"/>
              </w:rPr>
            </w:pPr>
            <w:r w:rsidRPr="008A3E99">
              <w:rPr>
                <w:sz w:val="28"/>
                <w:szCs w:val="28"/>
              </w:rPr>
              <w:t>1,6</w:t>
            </w:r>
          </w:p>
        </w:tc>
        <w:tc>
          <w:tcPr>
            <w:tcW w:w="1276" w:type="dxa"/>
            <w:tcBorders>
              <w:top w:val="single" w:sz="6" w:space="0" w:color="auto"/>
              <w:left w:val="single" w:sz="6" w:space="0" w:color="auto"/>
              <w:bottom w:val="single" w:sz="6" w:space="0" w:color="auto"/>
              <w:right w:val="single" w:sz="6" w:space="0" w:color="auto"/>
            </w:tcBorders>
          </w:tcPr>
          <w:p w:rsidR="008A3E99" w:rsidRPr="008A3E99" w:rsidRDefault="008A3E99" w:rsidP="00132B59">
            <w:pPr>
              <w:jc w:val="both"/>
              <w:rPr>
                <w:sz w:val="28"/>
                <w:szCs w:val="28"/>
              </w:rPr>
            </w:pPr>
            <w:r w:rsidRPr="008A3E99">
              <w:rPr>
                <w:sz w:val="28"/>
                <w:szCs w:val="28"/>
              </w:rPr>
              <w:t>1,88</w:t>
            </w:r>
          </w:p>
        </w:tc>
      </w:tr>
    </w:tbl>
    <w:p w:rsidR="008A3E99" w:rsidRPr="008A3E99" w:rsidRDefault="008A3E99" w:rsidP="008A3E99">
      <w:pPr>
        <w:jc w:val="both"/>
        <w:rPr>
          <w:sz w:val="28"/>
          <w:szCs w:val="28"/>
        </w:rPr>
      </w:pPr>
    </w:p>
    <w:p w:rsidR="008A3E99" w:rsidRPr="008A3E99" w:rsidRDefault="008A3E99" w:rsidP="008A3E99">
      <w:pPr>
        <w:jc w:val="both"/>
        <w:rPr>
          <w:sz w:val="28"/>
          <w:szCs w:val="28"/>
        </w:rPr>
      </w:pPr>
      <w:r w:rsidRPr="008A3E99">
        <w:rPr>
          <w:sz w:val="28"/>
          <w:szCs w:val="28"/>
        </w:rPr>
        <w:t>48% работающих граждан заняты в обрабатывающей промышленности, 25%- в бюджетной сфере (образование, здравоохранение, культура, спорт), 5% в сфере транспорта, 14% в сфере управления и обеспечения общественной безопасности (полиция, учреждения системы ГУФСИНа).</w:t>
      </w:r>
    </w:p>
    <w:p w:rsidR="008A3E99" w:rsidRPr="008A3E99" w:rsidRDefault="008A3E99" w:rsidP="008A3E99">
      <w:pPr>
        <w:ind w:firstLine="708"/>
        <w:jc w:val="both"/>
        <w:rPr>
          <w:sz w:val="28"/>
          <w:szCs w:val="28"/>
        </w:rPr>
      </w:pPr>
      <w:r w:rsidRPr="008A3E99">
        <w:rPr>
          <w:sz w:val="28"/>
          <w:szCs w:val="28"/>
        </w:rPr>
        <w:t>Численность постоянного населения городского округа «Город Губаха» на 01.01.2016 -  35 121 человек, что составляет 93%  к 2013 году (37 794 человек). В  последние годы наблюдается превышение уровня смертности над уровнем рождаемости, за 2015 год родилось 349 человек, а умерло 709 человек.</w:t>
      </w:r>
      <w:r w:rsidRPr="008A3E99">
        <w:rPr>
          <w:color w:val="FF0000"/>
          <w:sz w:val="28"/>
          <w:szCs w:val="28"/>
        </w:rPr>
        <w:t xml:space="preserve"> </w:t>
      </w:r>
      <w:r w:rsidRPr="008A3E99">
        <w:rPr>
          <w:sz w:val="28"/>
          <w:szCs w:val="28"/>
        </w:rPr>
        <w:t>Естественная убыль населения составляет – 360 человек.</w:t>
      </w:r>
      <w:r w:rsidRPr="008A3E99">
        <w:rPr>
          <w:color w:val="FF0000"/>
          <w:sz w:val="28"/>
          <w:szCs w:val="28"/>
        </w:rPr>
        <w:t xml:space="preserve"> </w:t>
      </w:r>
      <w:r w:rsidRPr="008A3E99">
        <w:rPr>
          <w:sz w:val="28"/>
          <w:szCs w:val="28"/>
        </w:rPr>
        <w:t>Миграционная убыль составляет – 367 человек: число прибывших составляет 703 человек, число выбывших – 1070 человек.</w:t>
      </w:r>
    </w:p>
    <w:p w:rsidR="002A28B1" w:rsidRPr="008A3E99" w:rsidRDefault="008A3E99" w:rsidP="008A3E99">
      <w:pPr>
        <w:ind w:firstLine="708"/>
        <w:jc w:val="both"/>
        <w:rPr>
          <w:sz w:val="28"/>
          <w:szCs w:val="28"/>
        </w:rPr>
      </w:pPr>
      <w:r w:rsidRPr="008A3E99">
        <w:rPr>
          <w:color w:val="FF0000"/>
          <w:sz w:val="28"/>
          <w:szCs w:val="28"/>
        </w:rPr>
        <w:t xml:space="preserve"> </w:t>
      </w:r>
      <w:r w:rsidRPr="008A3E99">
        <w:rPr>
          <w:sz w:val="28"/>
          <w:szCs w:val="28"/>
        </w:rPr>
        <w:t>Среднесписочная численность работающих граждан на предприятиях городского округа на 01.01.2016 составила 10 470 человек, в сравнении с аналогичным периодом прошлого года численность работающих уменьшилась на 1 674 человека, что составило  86% к 2015 года (12 144 человек). С начала года за содействием в поиске подходящей работы обратились 2341 (из них по сокращению штата 192 чел.)  граждан или 101% уровня аналогичного периода прошлого года (2014 год - 2316 граждан из них 261уволены по сокращению штата). С начала года услуги по профессиональной ориентации получили 952 человека, (на 10 человек больше чем 2014 году). В целях развития малого и среднего предпринимательства единовременную финансовую помощь на самозанятось получили</w:t>
      </w:r>
      <w:r w:rsidRPr="008A3E99">
        <w:rPr>
          <w:color w:val="FF0000"/>
          <w:sz w:val="28"/>
          <w:szCs w:val="28"/>
        </w:rPr>
        <w:t xml:space="preserve"> </w:t>
      </w:r>
      <w:r w:rsidRPr="008A3E99">
        <w:rPr>
          <w:sz w:val="28"/>
          <w:szCs w:val="28"/>
        </w:rPr>
        <w:t xml:space="preserve">2 человек в сумме 107 800 рублей, которые прошли регистрацию в качестве ИП и КФХи открыли собственное дело. </w:t>
      </w:r>
    </w:p>
    <w:p w:rsidR="002A28B1" w:rsidRPr="002A28B1" w:rsidRDefault="002A28B1" w:rsidP="002A28B1">
      <w:pPr>
        <w:ind w:firstLine="708"/>
        <w:jc w:val="both"/>
        <w:rPr>
          <w:sz w:val="28"/>
          <w:szCs w:val="28"/>
        </w:rPr>
      </w:pPr>
      <w:r w:rsidRPr="002A28B1">
        <w:rPr>
          <w:sz w:val="28"/>
          <w:szCs w:val="28"/>
        </w:rPr>
        <w:t>Основными факторами риска, которые могут повли</w:t>
      </w:r>
      <w:r>
        <w:rPr>
          <w:sz w:val="28"/>
          <w:szCs w:val="28"/>
        </w:rPr>
        <w:t>ять на деятельность предприятий</w:t>
      </w:r>
      <w:r w:rsidRPr="002A28B1">
        <w:rPr>
          <w:sz w:val="28"/>
          <w:szCs w:val="28"/>
        </w:rPr>
        <w:t>, можно определить следующие:</w:t>
      </w:r>
    </w:p>
    <w:p w:rsidR="002A28B1" w:rsidRPr="002A28B1" w:rsidRDefault="002A28B1" w:rsidP="002A28B1">
      <w:pPr>
        <w:shd w:val="clear" w:color="auto" w:fill="FFFFFF"/>
        <w:autoSpaceDE w:val="0"/>
        <w:autoSpaceDN w:val="0"/>
        <w:adjustRightInd w:val="0"/>
        <w:jc w:val="both"/>
        <w:rPr>
          <w:sz w:val="28"/>
          <w:szCs w:val="28"/>
        </w:rPr>
      </w:pPr>
      <w:r w:rsidRPr="002A28B1">
        <w:rPr>
          <w:bCs/>
          <w:sz w:val="28"/>
          <w:szCs w:val="28"/>
        </w:rPr>
        <w:t xml:space="preserve">- </w:t>
      </w:r>
      <w:r w:rsidR="00DC7E14">
        <w:rPr>
          <w:bCs/>
          <w:sz w:val="28"/>
          <w:szCs w:val="28"/>
        </w:rPr>
        <w:t>ситуация, складывающаяся на внешнем рынке по спросу и цене на экспортную продукцию.</w:t>
      </w:r>
      <w:r w:rsidRPr="002A28B1">
        <w:rPr>
          <w:bCs/>
          <w:sz w:val="28"/>
          <w:szCs w:val="28"/>
        </w:rPr>
        <w:t xml:space="preserve"> </w:t>
      </w:r>
      <w:r w:rsidR="00DC7E14">
        <w:rPr>
          <w:bCs/>
          <w:sz w:val="28"/>
          <w:szCs w:val="28"/>
        </w:rPr>
        <w:t xml:space="preserve">Изменение цены и спроса на внешнем рынке может существенно повлиять на ожидаемые финансовые результаты, отраженные в представленном прогнозе. </w:t>
      </w:r>
      <w:r w:rsidRPr="002A28B1">
        <w:rPr>
          <w:sz w:val="28"/>
          <w:szCs w:val="28"/>
        </w:rPr>
        <w:t>Отраслевые риски определяют конкурентная борьба, процессы на внутренних и внешних отраслевых рынках, внутренние и внешние цены на сырьё, услуги, продукцию, динамика развития общества и конкурентов. Прочное и уверенное положение среди конкурентов на внутреннем рынке уменьшают до приемлемо безопасного уровня возможное негативное воздействие вышеперечисленных рисков. Действия общества в отношении отраслевых рисков зависят от ситуации в каждом конкретном случае и направлены на обеспечение исполнения обществом своих обязательств;</w:t>
      </w:r>
    </w:p>
    <w:p w:rsidR="002A28B1" w:rsidRPr="002A28B1" w:rsidRDefault="002A28B1" w:rsidP="002A28B1">
      <w:pPr>
        <w:shd w:val="clear" w:color="auto" w:fill="FFFFFF"/>
        <w:autoSpaceDE w:val="0"/>
        <w:autoSpaceDN w:val="0"/>
        <w:adjustRightInd w:val="0"/>
        <w:jc w:val="both"/>
        <w:rPr>
          <w:sz w:val="28"/>
          <w:szCs w:val="28"/>
        </w:rPr>
      </w:pPr>
      <w:r w:rsidRPr="002A28B1">
        <w:rPr>
          <w:sz w:val="28"/>
          <w:szCs w:val="28"/>
        </w:rPr>
        <w:lastRenderedPageBreak/>
        <w:t>- финансовые риски. В соответствии с планом стратегического развития общество  наращивает и расширяет свою деловую активность, привлекая для этих целей как собственные, так и заемные средства. Текущее положение общества и ситуация на рынке позволяют привлекать заемные средства с приемлемой стоимостью капитала, поэтому связанный с потребностью в капитале риск незначителен. Общество подвержено валютным рискам, поскольку имеет экспорт и импорт продукции. Вследствие этого результаты деятельности общества подвержены колебаниям обменного курса рубля к иностранным валютам, однако связанный с такими колебаниями риск незначителен. Негативное воздействие оказывает изменение тарифов на энергоресурсы и вспомогательные услуги, увеличение налоговой нагрузки, что находится практически вне контроля общества.</w:t>
      </w:r>
      <w:r w:rsidR="003B03EA">
        <w:rPr>
          <w:sz w:val="28"/>
          <w:szCs w:val="28"/>
        </w:rPr>
        <w:t xml:space="preserve"> </w:t>
      </w:r>
      <w:r w:rsidRPr="002A28B1">
        <w:rPr>
          <w:sz w:val="28"/>
          <w:szCs w:val="28"/>
        </w:rPr>
        <w:t>К негативным факторам относится инфляция, которая, вызывает рост затрат и уменьшение прибыли общества, однако существующие и прогнозируемые уровни инфляции далеки от критических для отрасли и общества значений;</w:t>
      </w:r>
    </w:p>
    <w:p w:rsidR="002A28B1" w:rsidRPr="002A28B1" w:rsidRDefault="002A28B1" w:rsidP="002A28B1">
      <w:pPr>
        <w:shd w:val="clear" w:color="auto" w:fill="FFFFFF"/>
        <w:autoSpaceDE w:val="0"/>
        <w:autoSpaceDN w:val="0"/>
        <w:adjustRightInd w:val="0"/>
        <w:jc w:val="both"/>
        <w:rPr>
          <w:sz w:val="28"/>
          <w:szCs w:val="28"/>
        </w:rPr>
      </w:pPr>
      <w:r w:rsidRPr="002A28B1">
        <w:rPr>
          <w:sz w:val="28"/>
          <w:szCs w:val="28"/>
        </w:rPr>
        <w:t>- правовые риски. На деятельность общества безусловное влияние оказывают проводимые в России реформы валютного регулирования, банковской, судебной, таможенной, налоговой систем, законодательства о землепользовании и т.д.;</w:t>
      </w:r>
    </w:p>
    <w:p w:rsidR="002A28B1" w:rsidRDefault="002A28B1" w:rsidP="002A28B1">
      <w:pPr>
        <w:shd w:val="clear" w:color="auto" w:fill="FFFFFF"/>
        <w:autoSpaceDE w:val="0"/>
        <w:autoSpaceDN w:val="0"/>
        <w:adjustRightInd w:val="0"/>
        <w:jc w:val="both"/>
        <w:rPr>
          <w:sz w:val="28"/>
          <w:szCs w:val="28"/>
        </w:rPr>
      </w:pPr>
      <w:r w:rsidRPr="002A28B1">
        <w:rPr>
          <w:bCs/>
          <w:sz w:val="28"/>
          <w:szCs w:val="28"/>
        </w:rPr>
        <w:t>- риски, связанные с деятельностью общества.</w:t>
      </w:r>
      <w:r w:rsidRPr="002A28B1">
        <w:rPr>
          <w:sz w:val="28"/>
          <w:szCs w:val="28"/>
        </w:rPr>
        <w:t xml:space="preserve"> Деятельность общества подвержена рискам аварии и повреждения основного производственного оборудования. Для снижения этих рисков общество реализует обширный комплекс предупредительных мероприятий, программу обновления оборудования.  Общество проводит комплекс мероприятий по уменьшению вредного воздействия на окружающую среду, по снижению выбросов и выполняет требования действующего законодательства в области экологии и защиты окружающей среды. Риски, связанные с основной деятельностью общества, с экологией и охраной окружающей среды, незначительны в масштабах общества.</w:t>
      </w:r>
    </w:p>
    <w:p w:rsidR="003B03EA" w:rsidRPr="002A28B1" w:rsidRDefault="003B03EA" w:rsidP="003B03EA">
      <w:pPr>
        <w:shd w:val="clear" w:color="auto" w:fill="FFFFFF"/>
        <w:autoSpaceDE w:val="0"/>
        <w:autoSpaceDN w:val="0"/>
        <w:adjustRightInd w:val="0"/>
        <w:ind w:firstLine="708"/>
        <w:jc w:val="both"/>
        <w:rPr>
          <w:sz w:val="28"/>
          <w:szCs w:val="28"/>
        </w:rPr>
      </w:pPr>
      <w:r w:rsidRPr="002A28B1">
        <w:rPr>
          <w:sz w:val="28"/>
          <w:szCs w:val="28"/>
        </w:rPr>
        <w:t xml:space="preserve">К негативным факторам относится инфляция, которая, несмотря на некоторую стабилизацию, вызывает рост затрат и уменьшение прибыли общества, однако существующие и прогнозируемые уровни инфляции далеки от критических </w:t>
      </w:r>
      <w:r w:rsidR="00D32B98">
        <w:rPr>
          <w:sz w:val="28"/>
          <w:szCs w:val="28"/>
        </w:rPr>
        <w:t>для отрасли и общества значений.</w:t>
      </w:r>
    </w:p>
    <w:p w:rsidR="002A28B1" w:rsidRPr="002A28B1" w:rsidRDefault="002A28B1" w:rsidP="002A28B1">
      <w:pPr>
        <w:jc w:val="both"/>
        <w:rPr>
          <w:sz w:val="28"/>
          <w:szCs w:val="28"/>
        </w:rPr>
      </w:pPr>
    </w:p>
    <w:p w:rsidR="002A28B1" w:rsidRPr="002A28B1" w:rsidRDefault="002A28B1" w:rsidP="002A28B1">
      <w:pPr>
        <w:ind w:firstLine="708"/>
        <w:jc w:val="both"/>
        <w:rPr>
          <w:sz w:val="28"/>
          <w:szCs w:val="28"/>
        </w:rPr>
      </w:pPr>
    </w:p>
    <w:p w:rsidR="00464DF0" w:rsidRPr="002A28B1" w:rsidRDefault="00464DF0" w:rsidP="002A28B1">
      <w:pPr>
        <w:ind w:firstLine="708"/>
        <w:jc w:val="both"/>
        <w:rPr>
          <w:sz w:val="28"/>
          <w:szCs w:val="28"/>
        </w:rPr>
      </w:pPr>
    </w:p>
    <w:p w:rsidR="00094EE8" w:rsidRPr="002A28B1" w:rsidRDefault="00094EE8" w:rsidP="002A28B1">
      <w:pPr>
        <w:ind w:firstLine="720"/>
        <w:jc w:val="both"/>
        <w:rPr>
          <w:sz w:val="28"/>
          <w:szCs w:val="28"/>
        </w:rPr>
      </w:pPr>
    </w:p>
    <w:p w:rsidR="00094EE8" w:rsidRPr="00F86F5E" w:rsidRDefault="00094EE8" w:rsidP="00094EE8">
      <w:pPr>
        <w:ind w:firstLine="720"/>
        <w:jc w:val="both"/>
        <w:rPr>
          <w:sz w:val="28"/>
          <w:szCs w:val="28"/>
        </w:rPr>
      </w:pPr>
    </w:p>
    <w:p w:rsidR="00094EE8" w:rsidRDefault="00094EE8" w:rsidP="004C7FE8">
      <w:pPr>
        <w:jc w:val="both"/>
        <w:rPr>
          <w:sz w:val="28"/>
          <w:szCs w:val="28"/>
        </w:rPr>
      </w:pPr>
    </w:p>
    <w:p w:rsidR="00094EE8" w:rsidRPr="00F86F5E" w:rsidRDefault="00094EE8" w:rsidP="004C7FE8">
      <w:pPr>
        <w:jc w:val="both"/>
        <w:rPr>
          <w:sz w:val="28"/>
          <w:szCs w:val="28"/>
        </w:rPr>
      </w:pPr>
    </w:p>
    <w:p w:rsidR="004C7FE8" w:rsidRPr="00F86F5E" w:rsidRDefault="004C7FE8" w:rsidP="00604605">
      <w:pPr>
        <w:jc w:val="both"/>
        <w:rPr>
          <w:sz w:val="28"/>
          <w:szCs w:val="28"/>
        </w:rPr>
      </w:pPr>
    </w:p>
    <w:p w:rsidR="009C7BF7" w:rsidRDefault="009C7BF7" w:rsidP="00094EE8">
      <w:pPr>
        <w:spacing w:line="360" w:lineRule="auto"/>
        <w:jc w:val="both"/>
        <w:rPr>
          <w:sz w:val="26"/>
          <w:szCs w:val="26"/>
        </w:rPr>
      </w:pPr>
    </w:p>
    <w:p w:rsidR="00A41645" w:rsidRDefault="00A41645" w:rsidP="00717706">
      <w:pPr>
        <w:pStyle w:val="a3"/>
        <w:jc w:val="center"/>
        <w:rPr>
          <w:b/>
        </w:rPr>
      </w:pPr>
    </w:p>
    <w:p w:rsidR="00D43E82" w:rsidRDefault="00D43E82" w:rsidP="00717706">
      <w:pPr>
        <w:pStyle w:val="a3"/>
      </w:pPr>
    </w:p>
    <w:sectPr w:rsidR="00D43E82" w:rsidSect="00464DF0">
      <w:footerReference w:type="default" r:id="rId7"/>
      <w:pgSz w:w="11906" w:h="16838"/>
      <w:pgMar w:top="709"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C55" w:rsidRDefault="00351C55" w:rsidP="00A41645">
      <w:r>
        <w:separator/>
      </w:r>
    </w:p>
  </w:endnote>
  <w:endnote w:type="continuationSeparator" w:id="1">
    <w:p w:rsidR="00351C55" w:rsidRDefault="00351C55" w:rsidP="00A41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45" w:rsidRDefault="000415F2">
    <w:pPr>
      <w:pStyle w:val="a7"/>
      <w:jc w:val="right"/>
    </w:pPr>
    <w:fldSimple w:instr="PAGE   \* MERGEFORMAT">
      <w:r w:rsidR="00DD3E79">
        <w:rPr>
          <w:noProof/>
        </w:rPr>
        <w:t>1</w:t>
      </w:r>
    </w:fldSimple>
  </w:p>
  <w:p w:rsidR="00A41645" w:rsidRDefault="00A4164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C55" w:rsidRDefault="00351C55" w:rsidP="00A41645">
      <w:r>
        <w:separator/>
      </w:r>
    </w:p>
  </w:footnote>
  <w:footnote w:type="continuationSeparator" w:id="1">
    <w:p w:rsidR="00351C55" w:rsidRDefault="00351C55" w:rsidP="00A41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5369"/>
    <w:multiLevelType w:val="multilevel"/>
    <w:tmpl w:val="38381598"/>
    <w:lvl w:ilvl="0">
      <w:start w:val="1"/>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
    <w:nsid w:val="22DA396F"/>
    <w:multiLevelType w:val="hybridMultilevel"/>
    <w:tmpl w:val="CB0C3470"/>
    <w:lvl w:ilvl="0" w:tplc="C4A8DF7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027455"/>
    <w:multiLevelType w:val="hybridMultilevel"/>
    <w:tmpl w:val="C1460BFC"/>
    <w:lvl w:ilvl="0" w:tplc="BF14FA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BA0411"/>
    <w:rsid w:val="00002EAB"/>
    <w:rsid w:val="000415F2"/>
    <w:rsid w:val="00057946"/>
    <w:rsid w:val="00094EE8"/>
    <w:rsid w:val="000C0C6B"/>
    <w:rsid w:val="000C5129"/>
    <w:rsid w:val="000E6770"/>
    <w:rsid w:val="0011754E"/>
    <w:rsid w:val="0012188D"/>
    <w:rsid w:val="001502FA"/>
    <w:rsid w:val="001609F6"/>
    <w:rsid w:val="0017421B"/>
    <w:rsid w:val="001A5381"/>
    <w:rsid w:val="001A6B88"/>
    <w:rsid w:val="00277E3A"/>
    <w:rsid w:val="002A28B1"/>
    <w:rsid w:val="002F4B1D"/>
    <w:rsid w:val="00316A03"/>
    <w:rsid w:val="003236D7"/>
    <w:rsid w:val="00323A7C"/>
    <w:rsid w:val="00334E0E"/>
    <w:rsid w:val="00351C55"/>
    <w:rsid w:val="003A7BBD"/>
    <w:rsid w:val="003B03EA"/>
    <w:rsid w:val="003E457B"/>
    <w:rsid w:val="00406549"/>
    <w:rsid w:val="00441B8E"/>
    <w:rsid w:val="00464DF0"/>
    <w:rsid w:val="004A3BA6"/>
    <w:rsid w:val="004C7FE8"/>
    <w:rsid w:val="00516D3F"/>
    <w:rsid w:val="00562922"/>
    <w:rsid w:val="005828A0"/>
    <w:rsid w:val="00602EE6"/>
    <w:rsid w:val="00604605"/>
    <w:rsid w:val="006559CC"/>
    <w:rsid w:val="006B142F"/>
    <w:rsid w:val="006C49D2"/>
    <w:rsid w:val="00717706"/>
    <w:rsid w:val="00723556"/>
    <w:rsid w:val="007A1134"/>
    <w:rsid w:val="007B6F3A"/>
    <w:rsid w:val="007D214A"/>
    <w:rsid w:val="0083353E"/>
    <w:rsid w:val="00880908"/>
    <w:rsid w:val="00897F9A"/>
    <w:rsid w:val="008A02FB"/>
    <w:rsid w:val="008A3E99"/>
    <w:rsid w:val="008D6975"/>
    <w:rsid w:val="008E1D78"/>
    <w:rsid w:val="008E3B27"/>
    <w:rsid w:val="00922A04"/>
    <w:rsid w:val="009327D9"/>
    <w:rsid w:val="00960EED"/>
    <w:rsid w:val="009668B9"/>
    <w:rsid w:val="00972001"/>
    <w:rsid w:val="009C509A"/>
    <w:rsid w:val="009C7BF7"/>
    <w:rsid w:val="009D1555"/>
    <w:rsid w:val="009D228E"/>
    <w:rsid w:val="009D2B80"/>
    <w:rsid w:val="00A1318E"/>
    <w:rsid w:val="00A41645"/>
    <w:rsid w:val="00AA0ADE"/>
    <w:rsid w:val="00B231D3"/>
    <w:rsid w:val="00B25067"/>
    <w:rsid w:val="00B36350"/>
    <w:rsid w:val="00B414AC"/>
    <w:rsid w:val="00B619EF"/>
    <w:rsid w:val="00BA0411"/>
    <w:rsid w:val="00BB41B4"/>
    <w:rsid w:val="00C0553E"/>
    <w:rsid w:val="00C2237B"/>
    <w:rsid w:val="00C229A5"/>
    <w:rsid w:val="00C46A4E"/>
    <w:rsid w:val="00C46B8E"/>
    <w:rsid w:val="00C61FEF"/>
    <w:rsid w:val="00C85953"/>
    <w:rsid w:val="00C9504D"/>
    <w:rsid w:val="00CB5687"/>
    <w:rsid w:val="00CC56FE"/>
    <w:rsid w:val="00CE068F"/>
    <w:rsid w:val="00CE2133"/>
    <w:rsid w:val="00CF64EA"/>
    <w:rsid w:val="00D32B98"/>
    <w:rsid w:val="00D43E82"/>
    <w:rsid w:val="00D7668C"/>
    <w:rsid w:val="00D77310"/>
    <w:rsid w:val="00DC7E14"/>
    <w:rsid w:val="00DD3E79"/>
    <w:rsid w:val="00E56ED8"/>
    <w:rsid w:val="00EC04A5"/>
    <w:rsid w:val="00EC2DEB"/>
    <w:rsid w:val="00EF63E1"/>
    <w:rsid w:val="00F84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68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0411"/>
    <w:pPr>
      <w:spacing w:line="360" w:lineRule="exact"/>
      <w:ind w:firstLine="720"/>
      <w:jc w:val="both"/>
    </w:pPr>
    <w:rPr>
      <w:sz w:val="28"/>
      <w:szCs w:val="20"/>
    </w:rPr>
  </w:style>
  <w:style w:type="character" w:styleId="a4">
    <w:name w:val="Hyperlink"/>
    <w:rsid w:val="009D1555"/>
    <w:rPr>
      <w:color w:val="0000FF"/>
      <w:u w:val="single"/>
    </w:rPr>
  </w:style>
  <w:style w:type="paragraph" w:styleId="2">
    <w:name w:val="Body Text 2"/>
    <w:basedOn w:val="a"/>
    <w:link w:val="20"/>
    <w:rsid w:val="009C7BF7"/>
    <w:pPr>
      <w:spacing w:after="120" w:line="480" w:lineRule="auto"/>
    </w:pPr>
  </w:style>
  <w:style w:type="character" w:customStyle="1" w:styleId="20">
    <w:name w:val="Основной текст 2 Знак"/>
    <w:link w:val="2"/>
    <w:rsid w:val="009C7BF7"/>
    <w:rPr>
      <w:sz w:val="24"/>
      <w:szCs w:val="24"/>
    </w:rPr>
  </w:style>
  <w:style w:type="paragraph" w:styleId="3">
    <w:name w:val="Body Text 3"/>
    <w:basedOn w:val="a"/>
    <w:link w:val="30"/>
    <w:rsid w:val="009C7BF7"/>
    <w:pPr>
      <w:spacing w:after="120"/>
    </w:pPr>
    <w:rPr>
      <w:sz w:val="16"/>
      <w:szCs w:val="16"/>
    </w:rPr>
  </w:style>
  <w:style w:type="character" w:customStyle="1" w:styleId="30">
    <w:name w:val="Основной текст 3 Знак"/>
    <w:link w:val="3"/>
    <w:rsid w:val="009C7BF7"/>
    <w:rPr>
      <w:sz w:val="16"/>
      <w:szCs w:val="16"/>
    </w:rPr>
  </w:style>
  <w:style w:type="paragraph" w:styleId="a5">
    <w:name w:val="header"/>
    <w:basedOn w:val="a"/>
    <w:link w:val="a6"/>
    <w:rsid w:val="00A41645"/>
    <w:pPr>
      <w:tabs>
        <w:tab w:val="center" w:pos="4677"/>
        <w:tab w:val="right" w:pos="9355"/>
      </w:tabs>
    </w:pPr>
  </w:style>
  <w:style w:type="character" w:customStyle="1" w:styleId="a6">
    <w:name w:val="Верхний колонтитул Знак"/>
    <w:link w:val="a5"/>
    <w:rsid w:val="00A41645"/>
    <w:rPr>
      <w:sz w:val="24"/>
      <w:szCs w:val="24"/>
    </w:rPr>
  </w:style>
  <w:style w:type="paragraph" w:styleId="a7">
    <w:name w:val="footer"/>
    <w:basedOn w:val="a"/>
    <w:link w:val="a8"/>
    <w:uiPriority w:val="99"/>
    <w:rsid w:val="00A41645"/>
    <w:pPr>
      <w:tabs>
        <w:tab w:val="center" w:pos="4677"/>
        <w:tab w:val="right" w:pos="9355"/>
      </w:tabs>
    </w:pPr>
  </w:style>
  <w:style w:type="character" w:customStyle="1" w:styleId="a8">
    <w:name w:val="Нижний колонтитул Знак"/>
    <w:link w:val="a7"/>
    <w:uiPriority w:val="99"/>
    <w:rsid w:val="00A41645"/>
    <w:rPr>
      <w:sz w:val="24"/>
      <w:szCs w:val="24"/>
    </w:rPr>
  </w:style>
  <w:style w:type="paragraph" w:styleId="a9">
    <w:name w:val="List Paragraph"/>
    <w:basedOn w:val="a"/>
    <w:uiPriority w:val="34"/>
    <w:qFormat/>
    <w:rsid w:val="00602EE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67191275">
      <w:bodyDiv w:val="1"/>
      <w:marLeft w:val="0"/>
      <w:marRight w:val="0"/>
      <w:marTop w:val="0"/>
      <w:marBottom w:val="0"/>
      <w:divBdr>
        <w:top w:val="none" w:sz="0" w:space="0" w:color="auto"/>
        <w:left w:val="none" w:sz="0" w:space="0" w:color="auto"/>
        <w:bottom w:val="none" w:sz="0" w:space="0" w:color="auto"/>
        <w:right w:val="none" w:sz="0" w:space="0" w:color="auto"/>
      </w:divBdr>
    </w:div>
    <w:div w:id="904681000">
      <w:bodyDiv w:val="1"/>
      <w:marLeft w:val="0"/>
      <w:marRight w:val="0"/>
      <w:marTop w:val="0"/>
      <w:marBottom w:val="0"/>
      <w:divBdr>
        <w:top w:val="none" w:sz="0" w:space="0" w:color="auto"/>
        <w:left w:val="none" w:sz="0" w:space="0" w:color="auto"/>
        <w:bottom w:val="none" w:sz="0" w:space="0" w:color="auto"/>
        <w:right w:val="none" w:sz="0" w:space="0" w:color="auto"/>
      </w:divBdr>
    </w:div>
    <w:div w:id="952980594">
      <w:bodyDiv w:val="1"/>
      <w:marLeft w:val="0"/>
      <w:marRight w:val="0"/>
      <w:marTop w:val="0"/>
      <w:marBottom w:val="0"/>
      <w:divBdr>
        <w:top w:val="none" w:sz="0" w:space="0" w:color="auto"/>
        <w:left w:val="none" w:sz="0" w:space="0" w:color="auto"/>
        <w:bottom w:val="none" w:sz="0" w:space="0" w:color="auto"/>
        <w:right w:val="none" w:sz="0" w:space="0" w:color="auto"/>
      </w:divBdr>
    </w:div>
    <w:div w:id="1302924745">
      <w:bodyDiv w:val="1"/>
      <w:marLeft w:val="0"/>
      <w:marRight w:val="0"/>
      <w:marTop w:val="0"/>
      <w:marBottom w:val="0"/>
      <w:divBdr>
        <w:top w:val="none" w:sz="0" w:space="0" w:color="auto"/>
        <w:left w:val="none" w:sz="0" w:space="0" w:color="auto"/>
        <w:bottom w:val="none" w:sz="0" w:space="0" w:color="auto"/>
        <w:right w:val="none" w:sz="0" w:space="0" w:color="auto"/>
      </w:divBdr>
    </w:div>
    <w:div w:id="1328246516">
      <w:bodyDiv w:val="1"/>
      <w:marLeft w:val="0"/>
      <w:marRight w:val="0"/>
      <w:marTop w:val="0"/>
      <w:marBottom w:val="0"/>
      <w:divBdr>
        <w:top w:val="none" w:sz="0" w:space="0" w:color="auto"/>
        <w:left w:val="none" w:sz="0" w:space="0" w:color="auto"/>
        <w:bottom w:val="none" w:sz="0" w:space="0" w:color="auto"/>
        <w:right w:val="none" w:sz="0" w:space="0" w:color="auto"/>
      </w:divBdr>
    </w:div>
    <w:div w:id="17061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4</Pages>
  <Words>1509</Words>
  <Characters>8603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Методологические пояснения по заполнению форм 1 и 2 предварительного прогноза социально-экономического развития муниципальных районов и городских округов Пермского края</vt:lpstr>
    </vt:vector>
  </TitlesOfParts>
  <Company>*</Company>
  <LinksUpToDate>false</LinksUpToDate>
  <CharactersWithSpaces>10092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Методологические пояснения по заполнению форм 1 и 2 предварительного прогноза социально-экономического развития муниципальных районов и городских округов Пермского края</dc:title>
  <dc:subject/>
  <dc:creator>406</dc:creator>
  <cp:keywords/>
  <cp:lastModifiedBy>Пользователь</cp:lastModifiedBy>
  <cp:revision>13</cp:revision>
  <cp:lastPrinted>2015-05-08T05:13:00Z</cp:lastPrinted>
  <dcterms:created xsi:type="dcterms:W3CDTF">2015-04-22T11:50:00Z</dcterms:created>
  <dcterms:modified xsi:type="dcterms:W3CDTF">2016-06-03T04:32:00Z</dcterms:modified>
</cp:coreProperties>
</file>